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640975FF" w:rsidR="00725C04" w:rsidRDefault="00B271F9" w:rsidP="00725C04">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Credas</w:t>
      </w:r>
      <w:proofErr w:type="spellEnd"/>
      <w:r>
        <w:rPr>
          <w:rFonts w:ascii="Arial" w:hAnsi="Arial" w:cs="Arial"/>
          <w:b/>
          <w:bCs/>
          <w:sz w:val="32"/>
          <w:szCs w:val="32"/>
          <w:lang w:eastAsia="en-GB"/>
        </w:rPr>
        <w:t xml:space="preserve"> Medical</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66EA582D" w:rsidR="00754729" w:rsidRPr="00033191" w:rsidRDefault="00B271F9" w:rsidP="00160BD8">
      <w:pPr>
        <w:autoSpaceDE w:val="0"/>
        <w:autoSpaceDN w:val="0"/>
        <w:adjustRightInd w:val="0"/>
        <w:spacing w:after="0" w:line="240" w:lineRule="auto"/>
        <w:jc w:val="both"/>
        <w:outlineLvl w:val="0"/>
        <w:rPr>
          <w:rFonts w:ascii="Arial" w:hAnsi="Arial" w:cs="Arial"/>
          <w:b/>
          <w:bCs/>
          <w:color w:val="000000" w:themeColor="text1"/>
          <w:lang w:eastAsia="en-GB"/>
        </w:rPr>
      </w:pPr>
      <w:proofErr w:type="spellStart"/>
      <w:r>
        <w:rPr>
          <w:rFonts w:ascii="Arial" w:hAnsi="Arial" w:cs="Arial"/>
          <w:b/>
          <w:bCs/>
          <w:color w:val="000000" w:themeColor="text1"/>
          <w:lang w:eastAsia="en-GB"/>
        </w:rPr>
        <w:t>Credas</w:t>
      </w:r>
      <w:proofErr w:type="spellEnd"/>
      <w:r>
        <w:rPr>
          <w:rFonts w:ascii="Arial" w:hAnsi="Arial" w:cs="Arial"/>
          <w:b/>
          <w:bCs/>
          <w:color w:val="000000" w:themeColor="text1"/>
          <w:lang w:eastAsia="en-GB"/>
        </w:rPr>
        <w:t xml:space="preserve"> Medical</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1767C4D6"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proofErr w:type="spellStart"/>
      <w:r w:rsidR="00B271F9">
        <w:rPr>
          <w:rFonts w:ascii="Arial" w:hAnsi="Arial" w:cs="Arial"/>
          <w:color w:val="000000" w:themeColor="text1"/>
          <w:sz w:val="22"/>
          <w:szCs w:val="22"/>
        </w:rPr>
        <w:t>Credas</w:t>
      </w:r>
      <w:proofErr w:type="spellEnd"/>
      <w:r w:rsidR="00B271F9">
        <w:rPr>
          <w:rFonts w:ascii="Arial" w:hAnsi="Arial" w:cs="Arial"/>
          <w:color w:val="000000" w:themeColor="text1"/>
          <w:sz w:val="22"/>
          <w:szCs w:val="22"/>
        </w:rPr>
        <w:t xml:space="preserve"> Medical</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534ECC62" w:rsidR="00265980" w:rsidRPr="00033191" w:rsidRDefault="00265980" w:rsidP="00265980">
      <w:pPr>
        <w:rPr>
          <w:rFonts w:ascii="Arial" w:hAnsi="Arial" w:cs="Arial"/>
        </w:rPr>
      </w:pPr>
      <w:r w:rsidRPr="00033191">
        <w:rPr>
          <w:rFonts w:ascii="Arial" w:hAnsi="Arial" w:cs="Arial"/>
        </w:rPr>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proofErr w:type="spellStart"/>
      <w:r w:rsidR="00B271F9">
        <w:rPr>
          <w:rFonts w:ascii="Arial" w:hAnsi="Arial" w:cs="Arial"/>
        </w:rPr>
        <w:t>Credas</w:t>
      </w:r>
      <w:proofErr w:type="spellEnd"/>
      <w:r w:rsidR="00B271F9">
        <w:rPr>
          <w:rFonts w:ascii="Arial" w:hAnsi="Arial" w:cs="Arial"/>
        </w:rPr>
        <w:t xml:space="preserve"> Medical</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33BCD70B" w14:textId="00E2082C" w:rsidR="00033191" w:rsidRPr="006D17FD" w:rsidRDefault="00B271F9" w:rsidP="006D17FD">
      <w:pPr>
        <w:spacing w:before="100" w:beforeAutospacing="1" w:after="100" w:afterAutospacing="1"/>
        <w:rPr>
          <w:rFonts w:ascii="Arial" w:eastAsia="Times New Roman" w:hAnsi="Arial" w:cs="Arial"/>
          <w:lang w:eastAsia="en-GB"/>
        </w:rPr>
      </w:pPr>
      <w:proofErr w:type="spellStart"/>
      <w:r>
        <w:rPr>
          <w:rFonts w:ascii="Arial" w:eastAsia="Times New Roman" w:hAnsi="Arial" w:cs="Arial"/>
          <w:lang w:eastAsia="en-GB"/>
        </w:rPr>
        <w:t>Credas</w:t>
      </w:r>
      <w:proofErr w:type="spellEnd"/>
      <w:r>
        <w:rPr>
          <w:rFonts w:ascii="Arial" w:eastAsia="Times New Roman" w:hAnsi="Arial" w:cs="Arial"/>
          <w:lang w:eastAsia="en-GB"/>
        </w:rPr>
        <w:t xml:space="preserve"> Medical</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r w:rsidR="00033191">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40B4893" w:rsidR="006374B5" w:rsidRPr="006C1E26" w:rsidRDefault="00B271F9" w:rsidP="00033191">
      <w:pPr>
        <w:widowControl w:val="0"/>
        <w:spacing w:after="280"/>
        <w:rPr>
          <w:rFonts w:ascii="Arial" w:hAnsi="Arial" w:cs="Arial"/>
        </w:rPr>
      </w:pPr>
      <w:proofErr w:type="spellStart"/>
      <w:r>
        <w:rPr>
          <w:rFonts w:ascii="Arial" w:hAnsi="Arial" w:cs="Arial"/>
        </w:rPr>
        <w:t>Credas</w:t>
      </w:r>
      <w:proofErr w:type="spellEnd"/>
      <w:r>
        <w:rPr>
          <w:rFonts w:ascii="Arial" w:hAnsi="Arial" w:cs="Arial"/>
        </w:rPr>
        <w:t xml:space="preserve"> Medical</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here) </w:t>
      </w:r>
      <w:r w:rsidRPr="006C1E26">
        <w:rPr>
          <w:rFonts w:ascii="Arial" w:eastAsia="Times New Roman" w:hAnsi="Arial" w:cs="Arial"/>
          <w:color w:val="000000" w:themeColor="text1"/>
          <w:lang w:eastAsia="en-GB"/>
        </w:rPr>
        <w:t xml:space="preserve"> months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152F159"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proofErr w:type="spellStart"/>
      <w:r w:rsidR="00B271F9">
        <w:rPr>
          <w:rFonts w:ascii="Arial" w:hAnsi="Arial" w:cs="Arial"/>
        </w:rPr>
        <w:t>Credas</w:t>
      </w:r>
      <w:proofErr w:type="spellEnd"/>
      <w:r w:rsidR="00B271F9">
        <w:rPr>
          <w:rFonts w:ascii="Arial" w:hAnsi="Arial" w:cs="Arial"/>
        </w:rPr>
        <w:t xml:space="preserve"> Medical</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The Practice Data Protection Officer is Paul Couldrey of PCIG Consulting Limited. Any queries in regard to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2F4FF5"/>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17FD"/>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5D68"/>
    <w:rsid w:val="00A54140"/>
    <w:rsid w:val="00A87B6C"/>
    <w:rsid w:val="00AA4BD8"/>
    <w:rsid w:val="00AB32DB"/>
    <w:rsid w:val="00AB58F6"/>
    <w:rsid w:val="00AF5753"/>
    <w:rsid w:val="00B271F9"/>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BRIGGS, Luke (CREDAS MEDICAL)</cp:lastModifiedBy>
  <cp:revision>3</cp:revision>
  <cp:lastPrinted>2018-04-22T19:48:00Z</cp:lastPrinted>
  <dcterms:created xsi:type="dcterms:W3CDTF">2025-07-23T16:32:00Z</dcterms:created>
  <dcterms:modified xsi:type="dcterms:W3CDTF">2025-07-23T16:32:00Z</dcterms:modified>
</cp:coreProperties>
</file>